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pacing w:after="312" w:afterLines="100"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泉州市</w:t>
      </w:r>
      <w:r>
        <w:rPr>
          <w:rFonts w:ascii="Times New Roman" w:hAnsi="Times New Roman" w:eastAsia="方正小标宋简体"/>
          <w:sz w:val="44"/>
          <w:szCs w:val="44"/>
        </w:rPr>
        <w:t>2024年度第一批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一</w:t>
      </w:r>
      <w:r>
        <w:rPr>
          <w:rFonts w:ascii="Times New Roman" w:hAnsi="Times New Roman" w:eastAsia="方正小标宋简体"/>
          <w:sz w:val="44"/>
          <w:szCs w:val="44"/>
        </w:rPr>
        <w:t>星级绿色建筑标识项目</w:t>
      </w:r>
    </w:p>
    <w:tbl>
      <w:tblPr>
        <w:tblStyle w:val="6"/>
        <w:tblW w:w="15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660"/>
        <w:gridCol w:w="1170"/>
        <w:gridCol w:w="765"/>
        <w:gridCol w:w="525"/>
        <w:gridCol w:w="555"/>
        <w:gridCol w:w="525"/>
        <w:gridCol w:w="690"/>
        <w:gridCol w:w="900"/>
        <w:gridCol w:w="810"/>
        <w:gridCol w:w="900"/>
        <w:gridCol w:w="780"/>
        <w:gridCol w:w="735"/>
        <w:gridCol w:w="780"/>
        <w:gridCol w:w="885"/>
        <w:gridCol w:w="660"/>
        <w:gridCol w:w="705"/>
        <w:gridCol w:w="600"/>
        <w:gridCol w:w="705"/>
        <w:gridCol w:w="690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序号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项目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名称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70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申报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单位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65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认定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标准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25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标识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星级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55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项目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所在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地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25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建筑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类型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申报建筑面积(万㎡)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10" w:type="dxa"/>
            <w:gridSpan w:val="13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关键技术指标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建筑运行阶段碳排放强度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围护结构热工性能（或建筑供暖空调负荷）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严寒和寒冷地区住宅建筑外窗传热系数降低比例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节水器具用水效率等级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建筑隔声性能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室内主要空气污染物浓度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外窗气密、水密、抗风压性能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全装修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绿地率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年径流总量控制率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可再生能源利用率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非传统水源利用率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绿色建材应用比例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393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国网福建泉州供电公司河市镇配电抢修工区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国网福建省电力有限公司泉州供电公司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福建永福电力设计股份有限公司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福建省中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溋建设发展有限公司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《绿色建筑评价标准》GB/T50378-2019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★</w:t>
            </w: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泉州市洛江区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公共建筑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0.1273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10.73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kgCO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(m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•a)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围护结构热工性能提高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31.82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—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%达到二级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房间空气隔声性能达到国家标准的低限标准限值，楼板撞击隔声性能达到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限值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比国家标准GB/T 18883限值降低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26.67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外窗气密、水密、抗风压性能符合国家标准规定，外窗洞口与外窗本体结合严密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全装修质量符合国家标准规定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.00%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—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—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—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393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晋江罗裳片区象山地块高端人才社区（1~12号楼）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晋江华城置业有限公司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晋江市新佳园物业发展有限公司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福建省绿建工程咨询有限公司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《绿色建筑评价标准》GB/T50378-2019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★</w:t>
            </w: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泉州市晋江市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公共建筑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、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-SA"/>
              </w:rPr>
              <w:t>居住建筑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9.21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kgCO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(m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•a)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围护结构热工性能提高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100%达到二级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房间空气隔声性能达到国家标准的低限标准限值，楼板撞击隔声性能达到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限值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比国家标准GB/T 18883限值降低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外窗气密、水密、抗风压性能符合国家标准规定，外窗洞口与外窗本体结合严密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全装修质量符合国家标准规定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绿地率30.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由可再生能源提供的生活用热水比例98.69%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—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pStyle w:val="4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—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Y2IwMWQxYzhjZDU3NzhkYjEwMTRmMTg2OTY1N2IifQ=="/>
  </w:docVars>
  <w:rsids>
    <w:rsidRoot w:val="00000000"/>
    <w:rsid w:val="01FF1A41"/>
    <w:rsid w:val="0B673320"/>
    <w:rsid w:val="0CEB2C50"/>
    <w:rsid w:val="20757F3E"/>
    <w:rsid w:val="21F91F85"/>
    <w:rsid w:val="262910E7"/>
    <w:rsid w:val="27206858"/>
    <w:rsid w:val="3821214A"/>
    <w:rsid w:val="414263FD"/>
    <w:rsid w:val="468518BF"/>
    <w:rsid w:val="5A244E19"/>
    <w:rsid w:val="6CF3775B"/>
    <w:rsid w:val="7155143A"/>
    <w:rsid w:val="726F3D1B"/>
    <w:rsid w:val="7962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4"/>
      <w:szCs w:val="24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1084</Characters>
  <Lines>0</Lines>
  <Paragraphs>0</Paragraphs>
  <TotalTime>55</TotalTime>
  <ScaleCrop>false</ScaleCrop>
  <LinksUpToDate>false</LinksUpToDate>
  <CharactersWithSpaces>1114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2024-07-15T03:21:00Z</dcterms:created>
  <dc:creator>41626</dc:creator>
  <cp:lastModifiedBy>Administrator</cp:lastModifiedBy>
  <cp:lastPrinted>2024-07-17T09:49:00Z</cp:lastPrinted>
  <dcterms:modified xsi:type="dcterms:W3CDTF">2024-07-18T02:47:54Z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4873E41C313545E88E672DF8B85651FA_13</vt:lpwstr>
  </property>
</Properties>
</file>